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8"/>
          <w:szCs w:val="38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攀枝花市水务（集团）有限公司</w:t>
      </w: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国有资产招租公告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2025年第1期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）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根据《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攀枝花市企业国有资产交易监督管理办法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》相关规定，现对管辖范围内优质房产进行公开招租，欢迎符合条件的企业/个人承租。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sz w:val="33"/>
          <w:szCs w:val="33"/>
          <w:lang w:eastAsia="zh-CN"/>
        </w:rPr>
        <w:t>一、</w:t>
      </w:r>
      <w:r>
        <w:rPr>
          <w:rFonts w:hint="eastAsia" w:ascii="黑体" w:hAnsi="黑体" w:eastAsia="黑体" w:cs="黑体"/>
          <w:sz w:val="33"/>
          <w:szCs w:val="33"/>
        </w:rPr>
        <w:t>招租主体信息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出租方：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攀枝花市水务（集团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咨询电话：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13882323850（向斌）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（工作日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8.3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0-1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:00）</w:t>
      </w:r>
    </w:p>
    <w:tbl>
      <w:tblPr>
        <w:tblStyle w:val="5"/>
        <w:tblpPr w:leftFromText="180" w:rightFromText="180" w:vertAnchor="text" w:horzAnchor="page" w:tblpX="1410" w:tblpY="832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87"/>
        <w:gridCol w:w="1343"/>
        <w:gridCol w:w="1727"/>
        <w:gridCol w:w="1003"/>
        <w:gridCol w:w="765"/>
        <w:gridCol w:w="690"/>
        <w:gridCol w:w="94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房产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名称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坐落位置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房屋所有权证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建筑面积（㎡）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  <w:t>用途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  <w:t>规划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  <w:t>现状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  <w:t>说明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</w:rPr>
              <w:t>租金底价（元/㎡月）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金海大厦（办公楼）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金海大厦11楼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/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740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办公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40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5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金泰悦城（办公楼）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东区机场路135附1号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川（2020）攀枝花不动产权证第0019653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898.02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办公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35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普达商铺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普达康和北苑大门口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ind w:firstLine="800" w:firstLineChars="400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/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400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未限定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25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芙蓉花城（商铺+车位）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芙蓉花城4号楼低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/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120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未限定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30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2号楼负1-3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/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未限定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350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车位</w:t>
            </w: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子</w:t>
            </w:r>
            <w:r>
              <w:rPr>
                <w:rFonts w:hint="eastAsia"/>
                <w:sz w:val="20"/>
                <w:szCs w:val="20"/>
                <w:vertAlign w:val="baseline"/>
              </w:rPr>
              <w:t>母位:350/月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5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金江</w:t>
            </w: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住宅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仁和区彩虹路325号1栋1单元19号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川（2020）攀枝花不动产权证第0041314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74.49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未限定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5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太谷</w:t>
            </w: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广场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东区三线大道北段319号附11号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川（2020）攀枝花不动产权证第0031746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58.7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未限定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75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蓝湖国际商铺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ind w:firstLine="400" w:firstLineChars="200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/</w:t>
            </w:r>
          </w:p>
        </w:tc>
        <w:tc>
          <w:tcPr>
            <w:tcW w:w="1727" w:type="dxa"/>
            <w:vAlign w:val="center"/>
          </w:tcPr>
          <w:p>
            <w:pPr>
              <w:spacing w:line="240" w:lineRule="auto"/>
              <w:ind w:firstLine="800" w:firstLineChars="400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/</w:t>
            </w:r>
          </w:p>
        </w:tc>
        <w:tc>
          <w:tcPr>
            <w:tcW w:w="100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80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未限定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空置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0" w:firstLineChars="200"/>
        <w:textAlignment w:val="auto"/>
        <w:rPr>
          <w:rFonts w:hint="default" w:ascii="黑体" w:hAnsi="黑体" w:eastAsia="黑体" w:cs="黑体"/>
          <w:sz w:val="33"/>
          <w:szCs w:val="33"/>
        </w:rPr>
      </w:pPr>
      <w:r>
        <w:rPr>
          <w:rFonts w:hint="default" w:ascii="黑体" w:hAnsi="黑体" w:eastAsia="黑体" w:cs="黑体"/>
          <w:sz w:val="33"/>
          <w:szCs w:val="33"/>
        </w:rPr>
        <w:t>二、房产明细表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三、招租流程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bookmarkStart w:id="1" w:name="OLE_LINK1"/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（一）</w:t>
      </w:r>
      <w:bookmarkEnd w:id="1"/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看房预约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2025年5月15日-12月31日（需提前24小时预约）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（二）资质审核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提供营业执照副本或个人身份证复印件、征信报告。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（三）谈价方式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双方办事人员约定时间，参会约定，参会人数不少于5人。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（四）结果公示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成交后3个工作日内官网公示。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（五）签约备案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公示期满5个工作日内签订《国有资产租赁合同》。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四、特别说明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（一）优先政策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1.高新技术企业享受5%租金优惠；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2.三年以上老租户续租享有优先权。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（二）禁止条款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1.不得擅自转租/改变房屋结构；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2.禁止从事违法经营及高污染行业。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3" w:firstLineChars="200"/>
        <w:textAlignment w:val="auto"/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3"/>
          <w:szCs w:val="33"/>
          <w:lang w:val="en-US" w:eastAsia="zh-CN"/>
        </w:rPr>
        <w:t>（三）配套服务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1.提供正规增值税专用发票；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2.协助办理工商注册登记。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五、附件清单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标准租赁合同范本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公告期限：2025年5月21日至12月31日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发布平台：攀枝花市水务（集团）有限公司官网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                   攀枝花市水务（集团）有限公司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                         2025年5月21日</w:t>
      </w:r>
    </w:p>
    <w:p>
      <w:pPr>
        <w:rPr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FDB88B-A9F0-4AB9-B9AD-CDC4AA237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888569-C146-484D-92DB-26C22C272F4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F528C9-AE7E-4FFE-A8D8-2C38C407D09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48AFE36-8E24-40DA-AE59-A06EC64E48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D35DF05-61FF-47BA-AEE1-44147862FF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YTJjZmUzY2Y4ZTk5Y2M0ZDk0NjQxNTUzNWZmMWUifQ=="/>
    <w:docVar w:name="KSO_WPS_MARK_KEY" w:val="a5c77ece-7f5b-4b37-b4bd-8497d0b02059"/>
  </w:docVars>
  <w:rsids>
    <w:rsidRoot w:val="45A0636B"/>
    <w:rsid w:val="06A64392"/>
    <w:rsid w:val="08E067B1"/>
    <w:rsid w:val="0B064214"/>
    <w:rsid w:val="11174789"/>
    <w:rsid w:val="45A0636B"/>
    <w:rsid w:val="49F42EAF"/>
    <w:rsid w:val="5B165020"/>
    <w:rsid w:val="6F9B5E2B"/>
    <w:rsid w:val="73BE013E"/>
    <w:rsid w:val="7D9706BB"/>
    <w:rsid w:val="BFF9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859</Characters>
  <Lines>0</Lines>
  <Paragraphs>0</Paragraphs>
  <TotalTime>2</TotalTime>
  <ScaleCrop>false</ScaleCrop>
  <LinksUpToDate>false</LinksUpToDate>
  <CharactersWithSpaces>906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2025-05-13T14:57:00Z</dcterms:created>
  <dc:creator>向斌</dc:creator>
  <cp:lastModifiedBy>刘那个浪</cp:lastModifiedBy>
  <dcterms:modified xsi:type="dcterms:W3CDTF">2025-05-21T01:59:28Z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3A7F458138614F0DAF1895ED51475291_13</vt:lpwstr>
  </property>
  <property fmtid="{D5CDD505-2E9C-101B-9397-08002B2CF9AE}" pid="4" name="KSOTemplateDocerSaveRecord">
    <vt:lpwstr>eyJoZGlkIjoiMGYxZWNiMmE5YWZmODkwMjdiNGFjMzcxZmNmYTZlZjQiLCJ1c2VySWQiOiIxNjA4Nzg1MTE5In0=</vt:lpwstr>
  </property>
</Properties>
</file>